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6123"/>
            <w:vAlign w:val="center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260000" cy="126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ternex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55"/>
            <w:vAlign w:val="center"/>
          </w:tcPr>
          <w:p>
            <w:pPr>
              <w:spacing w:after="0"/>
              <w:jc w:val="right"/>
            </w:pPr>
            <w:r>
              <w:rPr>
                <w:b/>
                <w:color w:val="1F5A3A"/>
                <w:sz w:val="17"/>
              </w:rPr>
              <w:t>PLANTILLA EDITABLE · WORD</w:t>
            </w:r>
          </w:p>
        </w:tc>
      </w:tr>
    </w:tbl>
    <w:p>
      <w:pPr>
        <w:spacing w:before="160" w:after="20"/>
      </w:pPr>
      <w:r>
        <w:rPr>
          <w:rFonts w:ascii="Aptos Display" w:hAnsi="Aptos Display"/>
          <w:b/>
          <w:color w:val="1F5A3A"/>
          <w:sz w:val="40"/>
        </w:rPr>
        <w:t>Documento electrónico de control administrativo (DeCA)</w:t>
      </w:r>
    </w:p>
    <w:p>
      <w:pPr>
        <w:spacing w:after="120"/>
      </w:pPr>
      <w:r>
        <w:rPr>
          <w:color w:val="5F6863"/>
          <w:sz w:val="22"/>
        </w:rPr>
        <w:t>Plantilla para preparar los datos del transporte público de ganado vivo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3ED"/>
            <w:tcBorders>
              <w:top w:val="single" w:sz="10" w:color="1F5A3A"/>
              <w:left w:val="single" w:sz="10" w:color="1F5A3A"/>
              <w:bottom w:val="single" w:sz="10" w:color="1F5A3A"/>
              <w:right w:val="single" w:sz="10" w:color="1F5A3A"/>
              <w:insideH w:val="single" w:sz="10" w:color="1F5A3A"/>
              <w:insideV w:val="single" w:sz="10" w:color="1F5A3A"/>
            </w:tcBorders>
          </w:tcPr>
          <w:p>
            <w:pPr>
              <w:spacing w:after="0"/>
            </w:pPr>
            <w:r>
              <w:rPr>
                <w:b/>
                <w:color w:val="1F5A3A"/>
              </w:rPr>
              <w:t xml:space="preserve">Importante. </w:t>
            </w:r>
            <w:r>
              <w:t>Esta plantilla sirve para recopilar y revisar la información. No genera por sí sola un DeCA digital válido: el fichero definitivo debe nacer como PDF, registrar fecha y hora, incorporar un QR con URL HTTPS de descarga directa y conservarse en un repositorio conforme a la normativa aplicable.</w:t>
            </w:r>
          </w:p>
        </w:tc>
      </w:tr>
    </w:tbl>
    <w:p>
      <w:pPr>
        <w:spacing w:before="80" w:after="40"/>
      </w:pPr>
      <w:r>
        <w:rPr>
          <w:color w:val="5F6863"/>
          <w:sz w:val="16"/>
        </w:rPr>
        <w:t>Recurso orientativo de TERNEX · Actualizado 23/09/2026 · www.ternex.es</w:t>
      </w:r>
    </w:p>
    <w:p>
      <w:pPr>
        <w:pStyle w:val="Heading1"/>
      </w:pPr>
      <w:r>
        <w:t>1. Identificación del servicio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Referencia interna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Escribe aquí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Fecha del transporte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dd/mm/aaaa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Fecha y hora de creación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La registrará el sistema que genere el DeCA definitivo</w:t>
            </w:r>
          </w:p>
        </w:tc>
      </w:tr>
    </w:tbl>
    <w:p>
      <w:pPr>
        <w:pStyle w:val="Heading1"/>
      </w:pPr>
      <w:r>
        <w:t>2. Cargador contractual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Nombre o razón social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Escribe aquí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NIF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Escribe aquí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Domicilio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Dirección completa</w:t>
            </w:r>
          </w:p>
        </w:tc>
      </w:tr>
    </w:tbl>
    <w:p>
      <w:pPr>
        <w:pStyle w:val="Heading1"/>
      </w:pPr>
      <w:r>
        <w:t>3. Transportista efectivo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Nombre o razón social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Escribe aquí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NIF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Escribe aquí</w:t>
            </w:r>
          </w:p>
        </w:tc>
      </w:tr>
    </w:tbl>
    <w:p>
      <w:pPr>
        <w:pStyle w:val="Heading1"/>
      </w:pPr>
      <w:r>
        <w:t>4. Origen y destino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Lugar de origen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Dirección o identificación inequívoca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Lugar de destino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Dirección o identificación inequívoca</w:t>
            </w:r>
          </w:p>
        </w:tc>
      </w:tr>
    </w:tbl>
    <w:p>
      <w:pPr>
        <w:pStyle w:val="Heading1"/>
      </w:pPr>
      <w:r>
        <w:t>5. Envío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Naturaleza de la carga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Ej.: bovinos vivos / terneros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Peso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kg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Magnitud alternativa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Solo cuando proceda y permita determinar la carga</w:t>
            </w:r>
          </w:p>
        </w:tc>
      </w:tr>
    </w:tbl>
    <w:p>
      <w:pPr>
        <w:pStyle w:val="Heading1"/>
      </w:pPr>
      <w:r>
        <w:t>6. Vehículo y autorizaciones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Matrícula del vehículo tractor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Escribe aquí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Matrícula del remolque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Escribe aquí o indica que no procede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5F9F6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b/>
                <w:color w:val="1F5A3A"/>
                <w:sz w:val="17"/>
              </w:rPr>
              <w:t>Autorización especial</w:t>
            </w:r>
          </w:p>
        </w:tc>
        <w:tc>
          <w:tcPr>
            <w:tcW w:type="dxa" w:w="7030"/>
            <w:vAlign w:val="center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color w:val="5F6863"/>
                <w:sz w:val="17"/>
              </w:rPr>
              <w:t>Número o referencia, cuando sea necesaria</w:t>
            </w:r>
          </w:p>
        </w:tc>
      </w:tr>
    </w:tbl>
    <w:p>
      <w:pPr>
        <w:pStyle w:val="Heading1"/>
      </w:pPr>
      <w:r>
        <w:t>7. Comprobación antes de emitir el documento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El servicio está sujeto al documento de control administrativo.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Cargador contractual y transportista efectivo están correctamente identificados.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Origen, destino, fecha, naturaleza y peso o magnitud alternativa están revisados.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Las matrículas del vehículo tractor y del remolque o semirremolque son correctas.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El DeCA definitivo se generará antes del inicio efectivo del servicio.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El PDF definitivo será nativo digital, legible y de tamaño no superior a 5 MB.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El PDF incorporará un QR que apunte a una URL HTTPS única con descarga directa.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El conductor recibirá el documento o el QR antes de iniciar el transporte.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0"/>
            </w:pPr>
            <w:r>
              <w:rPr>
                <w:sz w:val="22"/>
              </w:rPr>
              <w:t xml:space="preserve">☐  </w:t>
            </w:r>
            <w:r>
              <w:t>Cargador y transportista podrán conservar o descargar el fichero durante al menos un año.</w:t>
            </w:r>
          </w:p>
        </w:tc>
      </w:tr>
    </w:tbl>
    <w:p>
      <w:pPr>
        <w:pStyle w:val="Heading1"/>
      </w:pPr>
      <w:r>
        <w:t>8. Observaciones o reservas de los intervinientes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10148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t xml:space="preserve"> </w:t>
            </w:r>
          </w:p>
        </w:tc>
      </w:tr>
    </w:tbl>
    <w:p>
      <w:pPr>
        <w:pStyle w:val="Heading1"/>
      </w:pPr>
      <w:r>
        <w:t>9. Revisión de los datos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cantSplit/>
        </w:trPr>
        <w:tc>
          <w:tcPr>
            <w:tcW w:type="dxa" w:w="5074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rPr>
                <w:b/>
                <w:color w:val="1F5A3A"/>
                <w:sz w:val="17"/>
              </w:rPr>
              <w:t xml:space="preserve">Revisado por: </w:t>
            </w:r>
          </w:p>
        </w:tc>
        <w:tc>
          <w:tcPr>
            <w:tcW w:type="dxa" w:w="5074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rPr>
                <w:b/>
                <w:color w:val="1F5A3A"/>
                <w:sz w:val="17"/>
              </w:rPr>
              <w:t xml:space="preserve">Fecha y hora de revisión: </w:t>
            </w:r>
          </w:p>
        </w:tc>
      </w:tr>
      <w:tr>
        <w:trPr>
          <w:cantSplit/>
        </w:trPr>
        <w:tc>
          <w:tcPr>
            <w:tcW w:type="dxa" w:w="5074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rPr>
                <w:b/>
                <w:color w:val="1F5A3A"/>
                <w:sz w:val="17"/>
              </w:rPr>
              <w:t xml:space="preserve">Cargo / organización: </w:t>
            </w:r>
          </w:p>
        </w:tc>
        <w:tc>
          <w:tcPr>
            <w:tcW w:type="dxa" w:w="5074"/>
            <w:tcBorders>
              <w:top w:val="single" w:sz="8" w:color="E2E7E3"/>
              <w:left w:val="single" w:sz="8" w:color="E2E7E3"/>
              <w:bottom w:val="single" w:sz="8" w:color="E2E7E3"/>
              <w:right w:val="single" w:sz="8" w:color="E2E7E3"/>
              <w:insideH w:val="single" w:sz="8" w:color="E2E7E3"/>
              <w:insideV w:val="single" w:sz="8" w:color="E2E7E3"/>
            </w:tcBorders>
          </w:tcPr>
          <w:p>
            <w:pPr>
              <w:spacing w:after="140"/>
            </w:pPr>
            <w:r>
              <w:rPr>
                <w:b/>
                <w:color w:val="1F5A3A"/>
                <w:sz w:val="17"/>
              </w:rPr>
              <w:t xml:space="preserve">Referencia interna: 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65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863"/>
        <w:sz w:val="15"/>
      </w:rPr>
      <w:t>TERNEX · Plantilla para preparar los datos del DeCA · No sustituye el sistema de generación digital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 w:eastAsia="Aptos"/>
      <w:color w:val="24302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5A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5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