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1F5A3A"/>
          <w:sz w:val="18"/>
        </w:rPr>
        <w:t>TERNEX · www.ternex.es</w:t>
      </w:r>
    </w:p>
    <w:p>
      <w:pPr>
        <w:spacing w:after="0"/>
      </w:pPr>
      <w:r>
        <w:rPr>
          <w:b/>
          <w:color w:val="1F5A3A"/>
          <w:sz w:val="40"/>
        </w:rPr>
        <w:t>Checklist de documentación para mover terneros</w:t>
      </w:r>
    </w:p>
    <w:p>
      <w:pPr>
        <w:spacing w:after="80"/>
      </w:pPr>
      <w:r>
        <w:rPr>
          <w:color w:val="595959"/>
          <w:sz w:val="24"/>
        </w:rPr>
        <w:t>A vida y a matadero · Cataluña y Aragón</w:t>
      </w:r>
    </w:p>
    <w:p>
      <w:pPr>
        <w:spacing w:after="80"/>
      </w:pPr>
      <w:r>
        <w:rPr>
          <w:sz w:val="19"/>
        </w:rPr>
        <w:t>Antes de descargar anexos, cruza cuatro datos: explotación de origen, destino exacto, finalidad (vida o sacrificio) y zona sanitaria vigente el día de la carga. Marca cada casilla solo cuando el documento esté revisado y coincida con el lote real.</w:t>
      </w:r>
    </w:p>
    <w:p>
      <w:pPr>
        <w:spacing w:after="80"/>
      </w:pPr>
      <w:r>
        <w:rPr>
          <w:color w:val="595959"/>
          <w:sz w:val="17"/>
        </w:rPr>
        <w:t>Versión: 21/09/2026 · Recurso orientativo, no sustituye la consulta con la OCA u oficina comarcal.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2"/>
          </w:tcPr>
          <w:p>
            <w:pPr>
              <w:spacing w:after="0"/>
            </w:pPr>
            <w:r>
              <w:rPr>
                <w:b/>
                <w:color w:val="595959"/>
                <w:sz w:val="17"/>
              </w:rPr>
              <w:t xml:space="preserve">Fecha de carga: </w:t>
            </w:r>
            <w:r>
              <w:rPr>
                <w:sz w:val="17"/>
              </w:rPr>
              <w:t>______________</w:t>
            </w:r>
          </w:p>
        </w:tc>
        <w:tc>
          <w:tcPr>
            <w:tcW w:type="dxa" w:w="4932"/>
          </w:tcPr>
          <w:p>
            <w:pPr>
              <w:spacing w:after="0"/>
            </w:pPr>
            <w:r>
              <w:rPr>
                <w:b/>
                <w:color w:val="595959"/>
                <w:sz w:val="17"/>
              </w:rPr>
              <w:t xml:space="preserve">Explotación de origen (REGA): </w:t>
            </w:r>
            <w:r>
              <w:rPr>
                <w:sz w:val="17"/>
              </w:rPr>
              <w:t>______________</w:t>
            </w:r>
          </w:p>
        </w:tc>
      </w:tr>
      <w:tr>
        <w:tc>
          <w:tcPr>
            <w:tcW w:type="dxa" w:w="4932"/>
          </w:tcPr>
          <w:p>
            <w:pPr>
              <w:spacing w:after="0"/>
            </w:pPr>
            <w:r>
              <w:rPr>
                <w:b/>
                <w:color w:val="595959"/>
                <w:sz w:val="17"/>
              </w:rPr>
              <w:t xml:space="preserve">Destino exacto (REGA): </w:t>
            </w:r>
            <w:r>
              <w:rPr>
                <w:sz w:val="17"/>
              </w:rPr>
              <w:t>______________</w:t>
            </w:r>
          </w:p>
        </w:tc>
        <w:tc>
          <w:tcPr>
            <w:tcW w:type="dxa" w:w="4932"/>
          </w:tcPr>
          <w:p>
            <w:pPr>
              <w:spacing w:after="0"/>
            </w:pPr>
            <w:r>
              <w:rPr>
                <w:b/>
                <w:color w:val="595959"/>
                <w:sz w:val="17"/>
              </w:rPr>
              <w:t xml:space="preserve">Finalidad: ☐ vida  ☐ engorde  ☐ reproducción  ☐ sacrificio: </w:t>
            </w:r>
            <w:r>
              <w:rPr>
                <w:sz w:val="17"/>
              </w:rPr>
              <w:t>______________</w:t>
            </w:r>
          </w:p>
        </w:tc>
      </w:tr>
      <w:tr>
        <w:tc>
          <w:tcPr>
            <w:tcW w:type="dxa" w:w="4932"/>
          </w:tcPr>
          <w:p>
            <w:pPr>
              <w:spacing w:after="0"/>
            </w:pPr>
            <w:r>
              <w:rPr>
                <w:b/>
                <w:color w:val="595959"/>
                <w:sz w:val="17"/>
              </w:rPr>
              <w:t xml:space="preserve">Nº de animales: </w:t>
            </w:r>
            <w:r>
              <w:rPr>
                <w:sz w:val="17"/>
              </w:rPr>
              <w:t>______________</w:t>
            </w:r>
          </w:p>
        </w:tc>
        <w:tc>
          <w:tcPr>
            <w:tcW w:type="dxa" w:w="4932"/>
          </w:tcPr>
          <w:p>
            <w:pPr>
              <w:spacing w:after="0"/>
            </w:pPr>
            <w:r>
              <w:rPr>
                <w:b/>
                <w:color w:val="595959"/>
                <w:sz w:val="17"/>
              </w:rPr>
              <w:t xml:space="preserve">Zona DNC de origen / destino: </w:t>
            </w:r>
            <w:r>
              <w:rPr>
                <w:sz w:val="17"/>
              </w:rPr>
              <w:t>______________</w:t>
            </w:r>
          </w:p>
        </w:tc>
      </w:tr>
      <w:tr>
        <w:tc>
          <w:tcPr>
            <w:tcW w:type="dxa" w:w="4932"/>
          </w:tcPr>
          <w:p>
            <w:pPr>
              <w:spacing w:after="0"/>
            </w:pPr>
            <w:r>
              <w:rPr>
                <w:b/>
                <w:color w:val="595959"/>
                <w:sz w:val="17"/>
              </w:rPr>
              <w:t xml:space="preserve">Transportista / matrícula: </w:t>
            </w:r>
            <w:r>
              <w:rPr>
                <w:sz w:val="17"/>
              </w:rPr>
              <w:t>______________</w:t>
            </w:r>
          </w:p>
        </w:tc>
        <w:tc>
          <w:tcPr>
            <w:tcW w:type="dxa" w:w="4932"/>
          </w:tcPr>
          <w:p>
            <w:pPr>
              <w:spacing w:after="0"/>
            </w:pPr>
            <w:r>
              <w:rPr>
                <w:b/>
                <w:color w:val="595959"/>
                <w:sz w:val="17"/>
              </w:rPr>
              <w:t xml:space="preserve">Documento que ampara el traslado: </w:t>
            </w:r>
            <w:r>
              <w:rPr>
                <w:sz w:val="17"/>
              </w:rPr>
              <w:t>______________</w:t>
            </w:r>
          </w:p>
        </w:tc>
      </w:tr>
    </w:tbl>
    <w:p>
      <w:pPr>
        <w:spacing w:after="0"/>
      </w:pPr>
    </w:p>
    <w:p>
      <w:pPr>
        <w:pStyle w:val="Heading1"/>
      </w:pPr>
      <w:r>
        <w:t>A. Antes de cargar: comunes a vida y a matadero</w:t>
      </w:r>
    </w:p>
    <w:p>
      <w:pPr>
        <w:spacing w:after="30"/>
        <w:ind w:left="340" w:hanging="340"/>
      </w:pPr>
      <w:r>
        <w:rPr>
          <w:sz w:val="22"/>
        </w:rPr>
        <w:t xml:space="preserve">☐  </w:t>
      </w:r>
      <w:r>
        <w:rPr>
          <w:b/>
        </w:rPr>
        <w:t xml:space="preserve">Documento de movimiento o certificado sanitario. </w:t>
      </w:r>
      <w:r>
        <w:t>identifica origen, destino, fecha, animales y transporte, y ampara el traslado hasta su destino (papel o electrónico). En Cataluña puede ser un documento sanitario emitido por el ganadero o un certificado de los servicios veterinarios oficiales, según el ámbito del traslado. Pregunta a la OCA u oficina comarcal cuál corresponde a esta salida.</w:t>
      </w:r>
    </w:p>
    <w:p>
      <w:pPr>
        <w:spacing w:after="30"/>
        <w:ind w:left="340" w:hanging="340"/>
      </w:pPr>
      <w:r>
        <w:rPr>
          <w:sz w:val="22"/>
        </w:rPr>
        <w:t xml:space="preserve">☐  </w:t>
      </w:r>
      <w:r>
        <w:rPr>
          <w:b/>
        </w:rPr>
        <w:t xml:space="preserve">Identificación y relación de crotales. </w:t>
      </w:r>
      <w:r>
        <w:t>todos los bovinos correctamente identificados; la relación del movimiento coincide uno a uno con los animales que suben al camión. Compara la lista con el lote preparado físicamente, no con una lista anterior.</w:t>
      </w:r>
    </w:p>
    <w:p>
      <w:pPr>
        <w:spacing w:after="30"/>
        <w:ind w:left="340" w:hanging="340"/>
      </w:pPr>
      <w:r>
        <w:rPr>
          <w:sz w:val="22"/>
        </w:rPr>
        <w:t xml:space="preserve">☐  </w:t>
      </w:r>
      <w:r>
        <w:rPr>
          <w:b/>
        </w:rPr>
        <w:t xml:space="preserve">DIB (Documento de Identificación Bovino). </w:t>
      </w:r>
      <w:r>
        <w:t>acompaña al animal como regla general. Cataluña no exige imprimirlo para movimientos a vida dentro de Cataluña; no apliques esa excepción a matadero, a otra comunidad autónoma ni a exportación sin confirmarlo.</w:t>
      </w:r>
    </w:p>
    <w:p>
      <w:pPr>
        <w:spacing w:after="30"/>
        <w:ind w:left="340" w:hanging="340"/>
      </w:pPr>
      <w:r>
        <w:rPr>
          <w:sz w:val="22"/>
        </w:rPr>
        <w:t xml:space="preserve">☐  </w:t>
      </w:r>
      <w:r>
        <w:rPr>
          <w:b/>
        </w:rPr>
        <w:t xml:space="preserve">Coincidencia en todos los documentos. </w:t>
      </w:r>
      <w:r>
        <w:t>destino, fecha, número de animales, crotales, REGA de origen y destino y transporte son los mismos en cada papel. Si cambia el lote, corrige la documentación por el canal oficial; no basta con modificar una lista interna.</w:t>
      </w:r>
    </w:p>
    <w:p>
      <w:pPr>
        <w:spacing w:after="30"/>
        <w:ind w:left="340" w:hanging="340"/>
      </w:pPr>
      <w:r>
        <w:rPr>
          <w:sz w:val="22"/>
        </w:rPr>
        <w:t xml:space="preserve">☐  </w:t>
      </w:r>
      <w:r>
        <w:rPr>
          <w:b/>
        </w:rPr>
        <w:t xml:space="preserve">Situación en la plataforma. </w:t>
      </w:r>
      <w:r>
        <w:t>sin entradas pendientes de confirmar y con todos los animales localizados en origen (en Aragón, Web Ganaderos solo permite seleccionar bovinos que constan en la explotación).</w:t>
      </w:r>
    </w:p>
    <w:p>
      <w:pPr>
        <w:pStyle w:val="Heading1"/>
      </w:pPr>
      <w:r>
        <w:t>B. Solo si el destino es un matadero</w:t>
      </w:r>
    </w:p>
    <w:p>
      <w:pPr>
        <w:spacing w:after="30"/>
        <w:ind w:left="340" w:hanging="340"/>
      </w:pPr>
      <w:r>
        <w:rPr>
          <w:sz w:val="22"/>
        </w:rPr>
        <w:t xml:space="preserve">☐  </w:t>
      </w:r>
      <w:r>
        <w:rPr>
          <w:b/>
        </w:rPr>
        <w:t xml:space="preserve">ICA (información de la cadena alimentaria). </w:t>
      </w:r>
      <w:r>
        <w:t>referida al lote real que sale, con tratamientos, tiempos de espera e incidencias revisados. Firmada por el titular.</w:t>
      </w:r>
    </w:p>
    <w:p>
      <w:pPr>
        <w:spacing w:after="30"/>
        <w:ind w:left="340" w:hanging="340"/>
      </w:pPr>
      <w:r>
        <w:rPr>
          <w:sz w:val="22"/>
        </w:rPr>
        <w:t xml:space="preserve">☐  </w:t>
      </w:r>
      <w:r>
        <w:rPr>
          <w:b/>
        </w:rPr>
        <w:t xml:space="preserve">Plazo y formato acordados. </w:t>
      </w:r>
      <w:r>
        <w:t>el ICA se remite en el formato y plazo aceptados por el matadero. No sustituye al documento de movimiento.</w:t>
      </w:r>
    </w:p>
    <w:p>
      <w:pPr>
        <w:spacing w:after="30"/>
        <w:ind w:left="340" w:hanging="340"/>
      </w:pPr>
      <w:r>
        <w:rPr>
          <w:sz w:val="22"/>
        </w:rPr>
        <w:t xml:space="preserve">☐  </w:t>
      </w:r>
      <w:r>
        <w:rPr>
          <w:b/>
        </w:rPr>
        <w:t xml:space="preserve">En Aragón, documento de traslado por Web Ganaderos. </w:t>
      </w:r>
      <w:r>
        <w:t>solo para bovinos con destino a matadero situado en Aragón. Revisa destino, fecha, crotales, matrícula, transportista y número de animales antes de pagar la tasa: después no puede rectificarse ni anularse desde ese flujo. Imprime el documento aceptado.</w:t>
      </w:r>
    </w:p>
    <w:p>
      <w:pPr>
        <w:pStyle w:val="Heading1"/>
      </w:pPr>
      <w:r>
        <w:t>C. Si el origen o el destino están en zona con dermatosis nodular contagiosa (DNC)</w:t>
      </w:r>
    </w:p>
    <w:p>
      <w:pPr>
        <w:spacing w:after="40"/>
      </w:pPr>
      <w:r>
        <w:rPr>
          <w:i/>
          <w:color w:val="595959"/>
          <w:sz w:val="18"/>
        </w:rPr>
        <w:t>No reutilices el paquete de una salida anterior: las condiciones cambian según destino y zona.</w:t>
      </w:r>
    </w:p>
    <w:p>
      <w:pPr>
        <w:spacing w:after="30"/>
        <w:ind w:left="340" w:hanging="340"/>
      </w:pPr>
      <w:r>
        <w:rPr>
          <w:sz w:val="22"/>
        </w:rPr>
        <w:t xml:space="preserve">☐  </w:t>
      </w:r>
      <w:r>
        <w:rPr>
          <w:b/>
        </w:rPr>
        <w:t xml:space="preserve">Zona sanitaria comprobada. </w:t>
      </w:r>
      <w:r>
        <w:t>origen y destino contrastados con las zonas vigentes (Cataluña: ZVI / ZVII; Aragón: municipios de los anexos I y II de la Resolución de 17 de marzo de 2026, que son listas territoriales, no formularios).</w:t>
      </w:r>
    </w:p>
    <w:p>
      <w:pPr>
        <w:spacing w:after="30"/>
        <w:ind w:left="340" w:hanging="340"/>
      </w:pPr>
      <w:r>
        <w:rPr>
          <w:sz w:val="22"/>
        </w:rPr>
        <w:t xml:space="preserve">☐  </w:t>
      </w:r>
      <w:r>
        <w:rPr>
          <w:b/>
        </w:rPr>
        <w:t xml:space="preserve">Autorización de la oficina comarcal. </w:t>
      </w:r>
      <w:r>
        <w:t>y valoración previa del riesgo en el CSM cuando el supuesto lo exige.</w:t>
      </w:r>
    </w:p>
    <w:p>
      <w:pPr>
        <w:spacing w:after="30"/>
        <w:ind w:left="340" w:hanging="340"/>
      </w:pPr>
      <w:r>
        <w:rPr>
          <w:sz w:val="22"/>
        </w:rPr>
        <w:t xml:space="preserve">☐  </w:t>
      </w:r>
      <w:r>
        <w:rPr>
          <w:b/>
        </w:rPr>
        <w:t xml:space="preserve">Examen clínico favorable. </w:t>
      </w:r>
      <w:r>
        <w:t>en las 48 horas previas, con certificado veterinario. Según el supuesto se envía a la oficina comarcal o se conserva en la explotación.</w:t>
      </w:r>
    </w:p>
    <w:p>
      <w:pPr>
        <w:spacing w:after="30"/>
        <w:ind w:left="340" w:hanging="340"/>
      </w:pPr>
      <w:r>
        <w:rPr>
          <w:sz w:val="22"/>
        </w:rPr>
        <w:t xml:space="preserve">☐  </w:t>
      </w:r>
      <w:r>
        <w:rPr>
          <w:b/>
        </w:rPr>
        <w:t xml:space="preserve">Acreditación de la vacunación. </w:t>
      </w:r>
      <w:r>
        <w:t>explotación y animales vacunados desde hace más de 28 días; los terneros de madres vacunadas se consideran vacunados hasta los cuatro meses (Cataluña). En Aragón, acreditación de vacunación y ausencia de signos clínicos cuando corresponda.</w:t>
      </w:r>
    </w:p>
    <w:p>
      <w:pPr>
        <w:spacing w:after="30"/>
        <w:ind w:left="340" w:hanging="340"/>
      </w:pPr>
      <w:r>
        <w:rPr>
          <w:sz w:val="22"/>
        </w:rPr>
        <w:t xml:space="preserve">☐  </w:t>
      </w:r>
      <w:r>
        <w:rPr>
          <w:b/>
        </w:rPr>
        <w:t xml:space="preserve">Declaración del titular. </w:t>
      </w:r>
      <w:r>
        <w:t>en Cataluña, para movimientos a vida desde ZVI o ZVII a otro destino de España, modelo A0588.05 DO11 (castellano) o DO12 (catalán) adjunto al CSM. Para sacrificio dentro de Cataluña con DST, la declaración queda reflejada en el DST.</w:t>
      </w:r>
    </w:p>
    <w:p>
      <w:pPr>
        <w:spacing w:after="30"/>
        <w:ind w:left="340" w:hanging="340"/>
      </w:pPr>
      <w:r>
        <w:rPr>
          <w:sz w:val="22"/>
        </w:rPr>
        <w:t xml:space="preserve">☐  </w:t>
      </w:r>
      <w:r>
        <w:rPr>
          <w:b/>
        </w:rPr>
        <w:t xml:space="preserve">Desinsectación. </w:t>
      </w:r>
      <w:r>
        <w:t>de bovinos y vehículo. Traslado directo, sin paradas y por vías principales. Si el matadero está fuera de Cataluña: comunicación al destino y autorización de la oficina comarcal.</w:t>
      </w:r>
    </w:p>
    <w:p>
      <w:pPr>
        <w:spacing w:after="30"/>
        <w:ind w:left="340" w:hanging="340"/>
      </w:pPr>
      <w:r>
        <w:rPr>
          <w:sz w:val="22"/>
        </w:rPr>
        <w:t xml:space="preserve">☐  </w:t>
      </w:r>
      <w:r>
        <w:rPr>
          <w:b/>
        </w:rPr>
        <w:t xml:space="preserve">Aragón, limpieza y desinfección. </w:t>
      </w:r>
      <w:r>
        <w:t>si no hay centro propio, desinsectar el vehículo antes de ir al centro de limpieza y desinfección más próximo, obtener el certificado y volver a desinsectar después.</w:t>
      </w:r>
    </w:p>
    <w:p>
      <w:pPr>
        <w:pStyle w:val="Heading1"/>
      </w:pPr>
      <w:r>
        <w:t>D. Si el transporte lo hace un transportista contratado</w:t>
      </w:r>
    </w:p>
    <w:p>
      <w:pPr>
        <w:spacing w:after="30"/>
        <w:ind w:left="340" w:hanging="340"/>
      </w:pPr>
      <w:r>
        <w:rPr>
          <w:sz w:val="22"/>
        </w:rPr>
        <w:t xml:space="preserve">☐  </w:t>
      </w:r>
      <w:r>
        <w:rPr>
          <w:b/>
        </w:rPr>
        <w:t xml:space="preserve">DeCA digital. </w:t>
      </w:r>
      <w:r>
        <w:t>obligatorio desde el 5 de octubre de 2026 para el transporte público contratado por carretera dentro de España. Debe generarse antes de iniciar el servicio como PDF nativo con QR; no lo sustituye un papel escaneado. No se exige por trasladar animales con medios propios.</w:t>
      </w:r>
    </w:p>
    <w:p>
      <w:pPr>
        <w:spacing w:after="30"/>
        <w:ind w:left="340" w:hanging="340"/>
      </w:pPr>
      <w:r>
        <w:rPr>
          <w:sz w:val="22"/>
        </w:rPr>
        <w:t xml:space="preserve">☐  </w:t>
      </w:r>
      <w:r>
        <w:rPr>
          <w:b/>
        </w:rPr>
        <w:t xml:space="preserve">Datos del DeCA cuadrados. </w:t>
      </w:r>
      <w:r>
        <w:t>cargador contractual, transportista efectivo, origen, destino, naturaleza y peso de la carga, fecha y matrículas de tractor y remolque.</w:t>
      </w:r>
    </w:p>
    <w:p>
      <w:pPr>
        <w:spacing w:after="30"/>
        <w:ind w:left="340" w:hanging="340"/>
      </w:pPr>
      <w:r>
        <w:rPr>
          <w:sz w:val="22"/>
        </w:rPr>
        <w:t xml:space="preserve">☐  </w:t>
      </w:r>
      <w:r>
        <w:rPr>
          <w:b/>
        </w:rPr>
        <w:t xml:space="preserve">El conductor lleva el DeCA. </w:t>
      </w:r>
      <w:r>
        <w:t>copia electrónica o impresa con el QR. Si cambia un dato en ruta, se actualiza el fichero digitalmente; una anotación a bolígrafo no vale.</w:t>
      </w:r>
    </w:p>
    <w:p>
      <w:pPr>
        <w:spacing w:after="30"/>
        <w:ind w:left="340" w:hanging="340"/>
      </w:pPr>
      <w:r>
        <w:rPr>
          <w:sz w:val="22"/>
        </w:rPr>
        <w:t xml:space="preserve">☐  </w:t>
      </w:r>
      <w:r>
        <w:rPr>
          <w:b/>
        </w:rPr>
        <w:t xml:space="preserve">Autorizaciones del transportista y del vehículo. </w:t>
      </w:r>
      <w:r>
        <w:t>además del certificado de competencia, plan de contingencia o cuaderno de a bordo cuando corresponda (RD 990/2022).</w:t>
      </w:r>
    </w:p>
    <w:p>
      <w:pPr>
        <w:spacing w:after="30"/>
        <w:ind w:left="340" w:hanging="340"/>
      </w:pPr>
      <w:r>
        <w:rPr>
          <w:sz w:val="22"/>
        </w:rPr>
        <w:t xml:space="preserve">☐  </w:t>
      </w:r>
      <w:r>
        <w:rPr>
          <w:b/>
        </w:rPr>
        <w:t xml:space="preserve">Certificado de limpieza y desinfección. </w:t>
      </w:r>
      <w:r>
        <w:t>en el supuesto regulado por Aragón lo conserva la persona responsable del transporte; la explotación guarda copia o justificante.</w:t>
      </w:r>
    </w:p>
    <w:p>
      <w:pPr>
        <w:spacing w:after="30"/>
        <w:ind w:left="340" w:hanging="340"/>
      </w:pPr>
      <w:r>
        <w:rPr>
          <w:sz w:val="22"/>
        </w:rPr>
        <w:t xml:space="preserve">☐  </w:t>
      </w:r>
      <w:r>
        <w:rPr>
          <w:b/>
        </w:rPr>
        <w:t xml:space="preserve">Quién conserva cada documento. </w:t>
      </w:r>
      <w:r>
        <w:t>DeCA, cargador y transportista durante al menos un año; documento de movimiento y justificantes, en la explotación (ver sección E).</w:t>
      </w:r>
    </w:p>
    <w:p>
      <w:pPr>
        <w:pStyle w:val="Heading1"/>
      </w:pPr>
      <w:r>
        <w:t>E. Después del movimiento</w:t>
      </w:r>
    </w:p>
    <w:p>
      <w:pPr>
        <w:spacing w:after="30"/>
        <w:ind w:left="340" w:hanging="340"/>
      </w:pPr>
      <w:r>
        <w:rPr>
          <w:sz w:val="22"/>
        </w:rPr>
        <w:t xml:space="preserve">☐  </w:t>
      </w:r>
      <w:r>
        <w:rPr>
          <w:b/>
        </w:rPr>
        <w:t xml:space="preserve">Comunicación de la salida. </w:t>
      </w:r>
      <w:r>
        <w:t>anotada en el libro de registro y comunicada a la comunidad autónoma (GTR, Ganaderos Aragón u otra plataforma autonómica) dentro del plazo máximo general de siete días. El destino confirma la entrada en su plataforma.</w:t>
      </w:r>
    </w:p>
    <w:p>
      <w:pPr>
        <w:spacing w:after="30"/>
        <w:ind w:left="340" w:hanging="340"/>
      </w:pPr>
      <w:r>
        <w:rPr>
          <w:sz w:val="22"/>
        </w:rPr>
        <w:t xml:space="preserve">☐  </w:t>
      </w:r>
      <w:r>
        <w:rPr>
          <w:b/>
        </w:rPr>
        <w:t xml:space="preserve">Cambios excepcionales tras emitir el documento. </w:t>
      </w:r>
      <w:r>
        <w:t>fecha, transportista, vehículo o número de animales se comunican a la autoridad que lo emitió en dos días hábiles desde la salida (RD 728/2007), por el trámite de modificación o anulación.</w:t>
      </w:r>
    </w:p>
    <w:p>
      <w:pPr>
        <w:spacing w:after="30"/>
        <w:ind w:left="340" w:hanging="340"/>
      </w:pPr>
      <w:r>
        <w:rPr>
          <w:sz w:val="22"/>
        </w:rPr>
        <w:t xml:space="preserve">☐  </w:t>
      </w:r>
      <w:r>
        <w:rPr>
          <w:b/>
        </w:rPr>
        <w:t xml:space="preserve">Stock actualizado. </w:t>
      </w:r>
      <w:r>
        <w:t>retirados exactamente los crotales cargados de su nave, corral y lote, vinculados al movimiento y al destino.</w:t>
      </w:r>
    </w:p>
    <w:p>
      <w:pPr>
        <w:spacing w:after="30"/>
        <w:ind w:left="340" w:hanging="340"/>
      </w:pPr>
      <w:r>
        <w:rPr>
          <w:sz w:val="22"/>
        </w:rPr>
        <w:t xml:space="preserve">☐  </w:t>
      </w:r>
      <w:r>
        <w:rPr>
          <w:b/>
        </w:rPr>
        <w:t xml:space="preserve">Conservación. </w:t>
      </w:r>
      <w:r>
        <w:t>copia de los documentos de movimiento y justificantes vinculados a la salida. El MAPA fija un mínimo general de tres años para los documentos de movimiento de entradas y los duplicados de salidas.</w:t>
      </w:r>
    </w:p>
    <w:p>
      <w:pPr>
        <w:spacing w:after="0"/>
      </w:pPr>
    </w:p>
    <w:p>
      <w:pPr>
        <w:spacing w:after="80"/>
      </w:pPr>
      <w:r>
        <w:rPr>
          <w:b/>
          <w:color w:val="1F5A3A"/>
          <w:sz w:val="19"/>
        </w:rPr>
        <w:t>Comprueba siempre la normativa vigente de tu comunidad autónoma. Las medidas por DNC cambian con la situación epidemiológica y los anexos pueden actualizarse; confirma el modelo vigente en la web oficial antes de cada salida.</w:t>
      </w:r>
    </w:p>
    <w:p>
      <w:pPr>
        <w:spacing w:after="20"/>
      </w:pPr>
      <w:r>
        <w:rPr>
          <w:color w:val="595959"/>
          <w:sz w:val="18"/>
        </w:rPr>
        <w:t>Guías completas en el blog de TERNEX:</w:t>
      </w:r>
    </w:p>
    <w:p>
      <w:pPr>
        <w:spacing w:after="0"/>
        <w:ind w:left="227"/>
      </w:pPr>
      <w:r>
        <w:rPr>
          <w:sz w:val="18"/>
        </w:rPr>
        <w:t xml:space="preserve">• </w:t>
      </w:r>
      <w:hyperlink r:id="rId9">
        <w:r>
          <w:rPr>
            <w:color w:val="1F5A3A"/>
            <w:u w:val="single"/>
            <w:sz w:val="18"/>
          </w:rPr>
          <w:t xml:space="preserve">Documentación para mover terneros a vida o a matadero (DNC)</w:t>
        </w:r>
      </w:hyperlink>
    </w:p>
    <w:p>
      <w:pPr>
        <w:spacing w:after="0"/>
        <w:ind w:left="227"/>
      </w:pPr>
      <w:r>
        <w:rPr>
          <w:sz w:val="18"/>
        </w:rPr>
        <w:t xml:space="preserve">• </w:t>
      </w:r>
      <w:hyperlink r:id="rId10">
        <w:r>
          <w:rPr>
            <w:color w:val="1F5A3A"/>
            <w:u w:val="single"/>
            <w:sz w:val="18"/>
          </w:rPr>
          <w:t xml:space="preserve">DeCA para transporte de ganado vivo</w:t>
        </w:r>
      </w:hyperlink>
    </w:p>
    <w:p>
      <w:pPr>
        <w:spacing w:after="0"/>
        <w:ind w:left="227"/>
      </w:pPr>
      <w:r>
        <w:rPr>
          <w:sz w:val="18"/>
        </w:rPr>
        <w:t xml:space="preserve">• </w:t>
      </w:r>
      <w:hyperlink r:id="rId11">
        <w:r>
          <w:rPr>
            <w:color w:val="1F5A3A"/>
            <w:u w:val="single"/>
            <w:sz w:val="18"/>
          </w:rPr>
          <w:t xml:space="preserve">Documento de traslado de bovinos en Ganaderos Aragón</w:t>
        </w:r>
      </w:hyperlink>
    </w:p>
    <w:sectPr w:rsidR="00FC693F" w:rsidRPr="0006063C" w:rsidSect="00034616">
      <w:footerReference w:type="default" r:id="rId12"/>
      <w:pgSz w:w="11906" w:h="16838"/>
      <w:pgMar w:top="850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95959"/>
        <w:sz w:val="16"/>
      </w:rPr>
      <w:t>TERNEX · www.ternex.es · Checklist de documentación para mover terneros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6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1F5A3A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1F5A3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ernex.es/blog/documentacion-mover-terneros-vida-matadero-dnc" TargetMode="External"/><Relationship Id="rId10" Type="http://schemas.openxmlformats.org/officeDocument/2006/relationships/hyperlink" Target="https://www.ternex.es/blog/deca-transporte-ganado-vivo" TargetMode="External"/><Relationship Id="rId11" Type="http://schemas.openxmlformats.org/officeDocument/2006/relationships/hyperlink" Target="https://www.ternex.es/blog/documento-traslado-bovinos-ganaderos-aragon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